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E0" w:rsidRPr="00C619E0" w:rsidRDefault="00C619E0" w:rsidP="00C619E0">
      <w:pPr>
        <w:spacing w:line="240" w:lineRule="auto"/>
        <w:jc w:val="center"/>
        <w:rPr>
          <w:rFonts w:ascii="Arial Rounded MT Bold" w:hAnsi="Arial Rounded MT Bold"/>
          <w:color w:val="76923C" w:themeColor="accent3" w:themeShade="BF"/>
          <w:sz w:val="32"/>
          <w:szCs w:val="32"/>
        </w:rPr>
      </w:pPr>
      <w:r w:rsidRPr="00C619E0">
        <w:rPr>
          <w:rFonts w:ascii="Arial Rounded MT Bold" w:hAnsi="Arial Rounded MT Bold"/>
          <w:color w:val="76923C" w:themeColor="accent3" w:themeShade="BF"/>
          <w:sz w:val="32"/>
          <w:szCs w:val="32"/>
        </w:rPr>
        <w:t>MY BUCKET LIST</w:t>
      </w:r>
    </w:p>
    <w:tbl>
      <w:tblPr>
        <w:tblStyle w:val="LightShading-Accent3"/>
        <w:tblW w:w="10348" w:type="dxa"/>
        <w:tblInd w:w="10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678"/>
        <w:gridCol w:w="5670"/>
      </w:tblGrid>
      <w:tr w:rsidR="00C619E0" w:rsidRPr="00C619E0" w:rsidTr="00922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cBorders>
          </w:tcPr>
          <w:p w:rsidR="00C619E0" w:rsidRPr="00C619E0" w:rsidRDefault="00C619E0" w:rsidP="00C619E0">
            <w:pPr>
              <w:rPr>
                <w:rFonts w:ascii="Arial Rounded MT Bold" w:hAnsi="Arial Rounded MT Bold"/>
              </w:rPr>
            </w:pPr>
            <w:r>
              <w:rPr>
                <w:rFonts w:ascii="Arial Rounded MT Bold" w:hAnsi="Arial Rounded MT Bold"/>
              </w:rPr>
              <w:t>FIVE THINGS TO DO BEFORE ID DIE</w:t>
            </w:r>
          </w:p>
        </w:tc>
        <w:tc>
          <w:tcPr>
            <w:tcW w:w="5670" w:type="dxa"/>
            <w:tcBorders>
              <w:top w:val="none" w:sz="0" w:space="0" w:color="auto"/>
              <w:left w:val="none" w:sz="0" w:space="0" w:color="auto"/>
              <w:bottom w:val="none" w:sz="0" w:space="0" w:color="auto"/>
              <w:right w:val="none" w:sz="0" w:space="0" w:color="auto"/>
            </w:tcBorders>
          </w:tcPr>
          <w:p w:rsidR="00C619E0" w:rsidRPr="00C619E0" w:rsidRDefault="00C619E0" w:rsidP="00C619E0">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sidRPr="00C619E0">
              <w:rPr>
                <w:rFonts w:ascii="Arial Rounded MT Bold" w:hAnsi="Arial Rounded MT Bold"/>
              </w:rPr>
              <w:t xml:space="preserve">FIVE THINGS </w:t>
            </w:r>
            <w:r>
              <w:rPr>
                <w:rFonts w:ascii="Arial Rounded MT Bold" w:hAnsi="Arial Rounded MT Bold"/>
              </w:rPr>
              <w:t>I WANT TO BE REMEMBERED FOR</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1.</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C619E0" w:rsidTr="00922B32">
        <w:tc>
          <w:tcPr>
            <w:cnfStyle w:val="001000000000" w:firstRow="0" w:lastRow="0" w:firstColumn="1" w:lastColumn="0" w:oddVBand="0" w:evenVBand="0" w:oddHBand="0" w:evenHBand="0" w:firstRowFirstColumn="0" w:firstRowLastColumn="0" w:lastRowFirstColumn="0" w:lastRowLastColumn="0"/>
            <w:tcW w:w="4678" w:type="dxa"/>
          </w:tcPr>
          <w:p w:rsidR="00C619E0" w:rsidRDefault="00C619E0" w:rsidP="00C619E0">
            <w:pPr>
              <w:rPr>
                <w:sz w:val="20"/>
                <w:szCs w:val="20"/>
              </w:rPr>
            </w:pPr>
          </w:p>
          <w:p w:rsidR="00C619E0" w:rsidRDefault="00C619E0" w:rsidP="00C619E0">
            <w:pPr>
              <w:rPr>
                <w:sz w:val="20"/>
                <w:szCs w:val="20"/>
              </w:rPr>
            </w:pPr>
            <w:r>
              <w:rPr>
                <w:sz w:val="20"/>
                <w:szCs w:val="20"/>
              </w:rPr>
              <w:t>2.</w:t>
            </w:r>
          </w:p>
          <w:p w:rsidR="00C619E0" w:rsidRDefault="00C619E0" w:rsidP="00C619E0">
            <w:pPr>
              <w:rPr>
                <w:sz w:val="20"/>
                <w:szCs w:val="20"/>
              </w:rPr>
            </w:pPr>
          </w:p>
        </w:tc>
        <w:tc>
          <w:tcPr>
            <w:tcW w:w="5670" w:type="dxa"/>
          </w:tcPr>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p>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2.</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619E0" w:rsidTr="00922B32">
        <w:tc>
          <w:tcPr>
            <w:cnfStyle w:val="001000000000" w:firstRow="0" w:lastRow="0" w:firstColumn="1" w:lastColumn="0" w:oddVBand="0" w:evenVBand="0" w:oddHBand="0" w:evenHBand="0" w:firstRowFirstColumn="0" w:firstRowLastColumn="0" w:lastRowFirstColumn="0" w:lastRowLastColumn="0"/>
            <w:tcW w:w="4678" w:type="dxa"/>
          </w:tcPr>
          <w:p w:rsidR="00C619E0" w:rsidRDefault="00C619E0" w:rsidP="00C619E0">
            <w:pPr>
              <w:rPr>
                <w:sz w:val="20"/>
                <w:szCs w:val="20"/>
              </w:rPr>
            </w:pPr>
          </w:p>
          <w:p w:rsidR="00C619E0" w:rsidRDefault="00C619E0" w:rsidP="00C619E0">
            <w:pPr>
              <w:rPr>
                <w:sz w:val="20"/>
                <w:szCs w:val="20"/>
              </w:rPr>
            </w:pPr>
            <w:r>
              <w:rPr>
                <w:sz w:val="20"/>
                <w:szCs w:val="20"/>
              </w:rPr>
              <w:t>4.</w:t>
            </w:r>
          </w:p>
        </w:tc>
        <w:tc>
          <w:tcPr>
            <w:tcW w:w="5670" w:type="dxa"/>
          </w:tcPr>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p>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5</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bl>
    <w:p w:rsidR="00922B32" w:rsidRDefault="00922B32" w:rsidP="001B0584">
      <w:pPr>
        <w:spacing w:line="240" w:lineRule="auto"/>
        <w:rPr>
          <w:rFonts w:ascii="Arial Rounded MT Bold" w:hAnsi="Arial Rounded MT Bold"/>
          <w:color w:val="76923C" w:themeColor="accent3" w:themeShade="BF"/>
          <w:sz w:val="20"/>
          <w:szCs w:val="20"/>
        </w:rPr>
      </w:pPr>
    </w:p>
    <w:p w:rsidR="00DA7977" w:rsidRPr="00C619E0" w:rsidRDefault="00DA7977" w:rsidP="00DA7977">
      <w:pPr>
        <w:spacing w:line="240" w:lineRule="auto"/>
        <w:rPr>
          <w:rFonts w:ascii="Arial Rounded MT Bold" w:hAnsi="Arial Rounded MT Bold"/>
          <w:color w:val="76923C" w:themeColor="accent3" w:themeShade="BF"/>
          <w:sz w:val="20"/>
          <w:szCs w:val="20"/>
        </w:rPr>
      </w:pPr>
      <w:r w:rsidRPr="00C619E0">
        <w:rPr>
          <w:rFonts w:ascii="Arial Rounded MT Bold" w:hAnsi="Arial Rounded MT Bold"/>
          <w:color w:val="76923C" w:themeColor="accent3" w:themeShade="BF"/>
          <w:sz w:val="20"/>
          <w:szCs w:val="20"/>
        </w:rPr>
        <w:t>LIFE IS FOR LIVING!</w:t>
      </w:r>
      <w:r>
        <w:rPr>
          <w:rFonts w:ascii="Arial Rounded MT Bold" w:hAnsi="Arial Rounded MT Bold"/>
          <w:color w:val="76923C" w:themeColor="accent3" w:themeShade="BF"/>
          <w:sz w:val="20"/>
          <w:szCs w:val="20"/>
        </w:rPr>
        <w:t xml:space="preserve"> </w:t>
      </w:r>
      <w:r w:rsidRPr="00C619E0">
        <w:rPr>
          <w:rFonts w:ascii="Arial Rounded MT Bold" w:hAnsi="Arial Rounded MT Bold"/>
          <w:color w:val="76923C" w:themeColor="accent3" w:themeShade="BF"/>
          <w:sz w:val="20"/>
          <w:szCs w:val="20"/>
        </w:rPr>
        <w:t xml:space="preserve">It goes against every instinct that we have to start planning </w:t>
      </w:r>
      <w:r>
        <w:rPr>
          <w:rFonts w:ascii="Arial Rounded MT Bold" w:hAnsi="Arial Rounded MT Bold"/>
          <w:color w:val="76923C" w:themeColor="accent3" w:themeShade="BF"/>
          <w:sz w:val="20"/>
          <w:szCs w:val="20"/>
        </w:rPr>
        <w:t>for the inevitable</w:t>
      </w:r>
      <w:r w:rsidRPr="00C619E0">
        <w:rPr>
          <w:rFonts w:ascii="Arial Rounded MT Bold" w:hAnsi="Arial Rounded MT Bold"/>
          <w:color w:val="76923C" w:themeColor="accent3" w:themeShade="BF"/>
          <w:sz w:val="20"/>
          <w:szCs w:val="20"/>
        </w:rPr>
        <w:t>: in fact only one in three of us have talked to anyone about how or where we would like to die.  But every adult, of whatever age, needs to look ahead and ask “What if?”</w:t>
      </w:r>
      <w:r>
        <w:rPr>
          <w:rFonts w:ascii="Arial Rounded MT Bold" w:hAnsi="Arial Rounded MT Bold"/>
          <w:color w:val="76923C" w:themeColor="accent3" w:themeShade="BF"/>
          <w:sz w:val="20"/>
          <w:szCs w:val="20"/>
        </w:rPr>
        <w:t xml:space="preserve"> What if I died suddenly how </w:t>
      </w:r>
      <w:proofErr w:type="gramStart"/>
      <w:r>
        <w:rPr>
          <w:rFonts w:ascii="Arial Rounded MT Bold" w:hAnsi="Arial Rounded MT Bold"/>
          <w:color w:val="76923C" w:themeColor="accent3" w:themeShade="BF"/>
          <w:sz w:val="20"/>
          <w:szCs w:val="20"/>
        </w:rPr>
        <w:t>would they</w:t>
      </w:r>
      <w:proofErr w:type="gramEnd"/>
      <w:r>
        <w:rPr>
          <w:rFonts w:ascii="Arial Rounded MT Bold" w:hAnsi="Arial Rounded MT Bold"/>
          <w:color w:val="76923C" w:themeColor="accent3" w:themeShade="BF"/>
          <w:sz w:val="20"/>
          <w:szCs w:val="20"/>
        </w:rPr>
        <w:t xml:space="preserve"> know my wishes</w:t>
      </w:r>
    </w:p>
    <w:p w:rsidR="00922B32" w:rsidRDefault="00922B32" w:rsidP="00922B32">
      <w:pPr>
        <w:spacing w:after="0"/>
        <w:jc w:val="center"/>
        <w:rPr>
          <w:sz w:val="18"/>
          <w:szCs w:val="18"/>
        </w:rPr>
      </w:pPr>
      <w:r w:rsidRPr="001B0584">
        <w:rPr>
          <w:sz w:val="18"/>
          <w:szCs w:val="18"/>
        </w:rPr>
        <w:t>The Estate Office,</w:t>
      </w:r>
    </w:p>
    <w:p w:rsidR="00922B32" w:rsidRPr="001B0584" w:rsidRDefault="00922B32" w:rsidP="00922B32">
      <w:pPr>
        <w:spacing w:after="0"/>
        <w:jc w:val="center"/>
        <w:rPr>
          <w:sz w:val="18"/>
          <w:szCs w:val="18"/>
        </w:rPr>
      </w:pPr>
      <w:r w:rsidRPr="001B0584">
        <w:rPr>
          <w:sz w:val="18"/>
          <w:szCs w:val="18"/>
        </w:rPr>
        <w:t>Morton Hall, Morton Nr Gainsborough DN21 3AA</w:t>
      </w:r>
    </w:p>
    <w:p w:rsidR="00922B32" w:rsidRPr="001B0584" w:rsidRDefault="00DA7977" w:rsidP="00922B32">
      <w:pPr>
        <w:spacing w:after="0"/>
        <w:jc w:val="center"/>
        <w:rPr>
          <w:sz w:val="18"/>
          <w:szCs w:val="18"/>
        </w:rPr>
      </w:pPr>
      <w:hyperlink r:id="rId8" w:history="1">
        <w:r w:rsidR="00922B32" w:rsidRPr="001B0584">
          <w:rPr>
            <w:rStyle w:val="Hyperlink"/>
            <w:sz w:val="18"/>
            <w:szCs w:val="18"/>
          </w:rPr>
          <w:t>www.respectgb.co.uk</w:t>
        </w:r>
      </w:hyperlink>
      <w:bookmarkStart w:id="0" w:name="_GoBack"/>
      <w:bookmarkEnd w:id="0"/>
    </w:p>
    <w:p w:rsidR="00922B32" w:rsidRDefault="00922B32" w:rsidP="00922B32">
      <w:pPr>
        <w:pStyle w:val="Footer"/>
        <w:jc w:val="center"/>
        <w:rPr>
          <w:rStyle w:val="Hyperlink"/>
          <w:color w:val="auto"/>
          <w:sz w:val="18"/>
          <w:szCs w:val="18"/>
          <w:u w:val="none"/>
        </w:rPr>
      </w:pPr>
      <w:r w:rsidRPr="001B0584">
        <w:rPr>
          <w:sz w:val="18"/>
          <w:szCs w:val="18"/>
        </w:rPr>
        <w:t xml:space="preserve">For more information please e-mail </w:t>
      </w:r>
      <w:hyperlink r:id="rId9" w:history="1">
        <w:r w:rsidRPr="001B0584">
          <w:rPr>
            <w:rStyle w:val="Hyperlink"/>
            <w:sz w:val="18"/>
            <w:szCs w:val="18"/>
          </w:rPr>
          <w:t>info@respectgb.co.uk</w:t>
        </w:r>
      </w:hyperlink>
      <w:r w:rsidRPr="001B0584">
        <w:rPr>
          <w:rStyle w:val="Hyperlink"/>
          <w:sz w:val="18"/>
          <w:szCs w:val="18"/>
        </w:rPr>
        <w:t xml:space="preserve"> </w:t>
      </w:r>
      <w:r w:rsidRPr="001B0584">
        <w:rPr>
          <w:rStyle w:val="Hyperlink"/>
          <w:color w:val="auto"/>
          <w:sz w:val="18"/>
          <w:szCs w:val="18"/>
          <w:u w:val="none"/>
        </w:rPr>
        <w:t>or call 01427 612992</w:t>
      </w:r>
    </w:p>
    <w:p w:rsidR="00922B32" w:rsidRDefault="00922B32" w:rsidP="00922B32">
      <w:pPr>
        <w:pStyle w:val="Footer"/>
        <w:jc w:val="center"/>
        <w:rPr>
          <w:rStyle w:val="Hyperlink"/>
          <w:color w:val="auto"/>
          <w:sz w:val="18"/>
          <w:szCs w:val="18"/>
          <w:u w:val="none"/>
        </w:rPr>
      </w:pPr>
    </w:p>
    <w:p w:rsidR="00922B32" w:rsidRPr="005B5DE1" w:rsidRDefault="00922B32" w:rsidP="00922B32">
      <w:pPr>
        <w:pStyle w:val="Header"/>
        <w:jc w:val="center"/>
        <w:rPr>
          <w:rFonts w:ascii="Trajan Pro" w:hAnsi="Trajan Pro"/>
          <w:b/>
          <w:sz w:val="28"/>
          <w:szCs w:val="28"/>
        </w:rPr>
      </w:pPr>
      <w:r w:rsidRPr="005B5DE1">
        <w:rPr>
          <w:rFonts w:ascii="Trajan Pro" w:hAnsi="Trajan Pro"/>
          <w:b/>
          <w:sz w:val="28"/>
          <w:szCs w:val="28"/>
        </w:rPr>
        <w:t xml:space="preserve">Respect </w:t>
      </w:r>
    </w:p>
    <w:p w:rsidR="00922B32" w:rsidRPr="005B5DE1" w:rsidRDefault="00922B32" w:rsidP="00922B32">
      <w:pPr>
        <w:pStyle w:val="Header"/>
        <w:jc w:val="center"/>
        <w:rPr>
          <w:rFonts w:ascii="Trajan Pro" w:hAnsi="Trajan Pro"/>
          <w:b/>
          <w:color w:val="006600"/>
          <w:sz w:val="24"/>
          <w:szCs w:val="24"/>
        </w:rPr>
      </w:pPr>
      <w:r w:rsidRPr="005B5DE1">
        <w:rPr>
          <w:rFonts w:ascii="Trajan Pro" w:hAnsi="Trajan Pro"/>
          <w:b/>
          <w:color w:val="006600"/>
          <w:sz w:val="24"/>
          <w:szCs w:val="24"/>
        </w:rPr>
        <w:t>Woodland Green Burial Parks</w:t>
      </w:r>
    </w:p>
    <w:p w:rsidR="00922B32" w:rsidRPr="005B5DE1" w:rsidRDefault="00922B32" w:rsidP="00922B32">
      <w:pPr>
        <w:pStyle w:val="Header"/>
        <w:jc w:val="center"/>
        <w:rPr>
          <w:rFonts w:ascii="Trajan Pro" w:hAnsi="Trajan Pro"/>
          <w:b/>
          <w:color w:val="006600"/>
          <w:sz w:val="20"/>
          <w:szCs w:val="20"/>
        </w:rPr>
      </w:pPr>
      <w:r w:rsidRPr="005B5DE1">
        <w:rPr>
          <w:rFonts w:ascii="Trajan Pro" w:hAnsi="Trajan Pro"/>
          <w:b/>
          <w:color w:val="006600"/>
          <w:sz w:val="20"/>
          <w:szCs w:val="20"/>
        </w:rPr>
        <w:t>Laughton North Lincolnshire &amp; Bawtry South Yorkshire / North Nottinghamshire</w:t>
      </w:r>
    </w:p>
    <w:p w:rsidR="00922B32" w:rsidRPr="00AF7790" w:rsidRDefault="00922B32" w:rsidP="00C619E0">
      <w:pPr>
        <w:spacing w:line="240" w:lineRule="auto"/>
        <w:jc w:val="center"/>
        <w:rPr>
          <w:rFonts w:ascii="Arial Rounded MT Bold" w:hAnsi="Arial Rounded MT Bold"/>
          <w:color w:val="76923C" w:themeColor="accent3" w:themeShade="BF"/>
          <w:sz w:val="20"/>
          <w:szCs w:val="20"/>
        </w:rPr>
      </w:pPr>
    </w:p>
    <w:p w:rsidR="00C619E0" w:rsidRDefault="00C619E0" w:rsidP="00C619E0">
      <w:pPr>
        <w:spacing w:line="240" w:lineRule="auto"/>
        <w:jc w:val="center"/>
        <w:rPr>
          <w:rFonts w:ascii="Arial Rounded MT Bold" w:hAnsi="Arial Rounded MT Bold"/>
          <w:color w:val="76923C" w:themeColor="accent3" w:themeShade="BF"/>
          <w:sz w:val="32"/>
          <w:szCs w:val="32"/>
        </w:rPr>
      </w:pPr>
      <w:r w:rsidRPr="00C619E0">
        <w:rPr>
          <w:rFonts w:ascii="Arial Rounded MT Bold" w:hAnsi="Arial Rounded MT Bold"/>
          <w:color w:val="76923C" w:themeColor="accent3" w:themeShade="BF"/>
          <w:sz w:val="32"/>
          <w:szCs w:val="32"/>
        </w:rPr>
        <w:t>MY BUCKET LIST</w:t>
      </w:r>
    </w:p>
    <w:tbl>
      <w:tblPr>
        <w:tblStyle w:val="LightShading-Accent3"/>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0"/>
      </w:tblGrid>
      <w:tr w:rsidR="00C619E0" w:rsidRPr="00C619E0" w:rsidTr="00922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cBorders>
          </w:tcPr>
          <w:p w:rsidR="00C619E0" w:rsidRPr="00C619E0" w:rsidRDefault="00C619E0" w:rsidP="00C619E0">
            <w:pPr>
              <w:rPr>
                <w:rFonts w:ascii="Arial Rounded MT Bold" w:hAnsi="Arial Rounded MT Bold"/>
              </w:rPr>
            </w:pPr>
            <w:r>
              <w:rPr>
                <w:rFonts w:ascii="Arial Rounded MT Bold" w:hAnsi="Arial Rounded MT Bold"/>
              </w:rPr>
              <w:t>FIVE THINGS TO DO BEFORE I DIE</w:t>
            </w:r>
          </w:p>
        </w:tc>
        <w:tc>
          <w:tcPr>
            <w:tcW w:w="5670" w:type="dxa"/>
            <w:tcBorders>
              <w:top w:val="none" w:sz="0" w:space="0" w:color="auto"/>
              <w:left w:val="none" w:sz="0" w:space="0" w:color="auto"/>
              <w:bottom w:val="none" w:sz="0" w:space="0" w:color="auto"/>
              <w:right w:val="none" w:sz="0" w:space="0" w:color="auto"/>
            </w:tcBorders>
          </w:tcPr>
          <w:p w:rsidR="00C619E0" w:rsidRPr="00C619E0" w:rsidRDefault="00C619E0" w:rsidP="00C619E0">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rPr>
            </w:pPr>
            <w:r w:rsidRPr="00C619E0">
              <w:rPr>
                <w:rFonts w:ascii="Arial Rounded MT Bold" w:hAnsi="Arial Rounded MT Bold"/>
              </w:rPr>
              <w:t xml:space="preserve">FIVE THINGS </w:t>
            </w:r>
            <w:r>
              <w:rPr>
                <w:rFonts w:ascii="Arial Rounded MT Bold" w:hAnsi="Arial Rounded MT Bold"/>
              </w:rPr>
              <w:t>I WANT TO BE REMEMBERED FOR</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1.</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C619E0" w:rsidTr="00C619E0">
        <w:tc>
          <w:tcPr>
            <w:cnfStyle w:val="001000000000" w:firstRow="0" w:lastRow="0" w:firstColumn="1" w:lastColumn="0" w:oddVBand="0" w:evenVBand="0" w:oddHBand="0" w:evenHBand="0" w:firstRowFirstColumn="0" w:firstRowLastColumn="0" w:lastRowFirstColumn="0" w:lastRowLastColumn="0"/>
            <w:tcW w:w="4678" w:type="dxa"/>
          </w:tcPr>
          <w:p w:rsidR="00C619E0" w:rsidRDefault="00C619E0" w:rsidP="00C619E0">
            <w:pPr>
              <w:rPr>
                <w:sz w:val="20"/>
                <w:szCs w:val="20"/>
              </w:rPr>
            </w:pPr>
          </w:p>
          <w:p w:rsidR="00C619E0" w:rsidRDefault="00C619E0" w:rsidP="00C619E0">
            <w:pPr>
              <w:rPr>
                <w:sz w:val="20"/>
                <w:szCs w:val="20"/>
              </w:rPr>
            </w:pPr>
            <w:r>
              <w:rPr>
                <w:sz w:val="20"/>
                <w:szCs w:val="20"/>
              </w:rPr>
              <w:t>2.</w:t>
            </w:r>
          </w:p>
          <w:p w:rsidR="00C619E0" w:rsidRDefault="00C619E0" w:rsidP="00C619E0">
            <w:pPr>
              <w:rPr>
                <w:sz w:val="20"/>
                <w:szCs w:val="20"/>
              </w:rPr>
            </w:pPr>
          </w:p>
        </w:tc>
        <w:tc>
          <w:tcPr>
            <w:tcW w:w="5670" w:type="dxa"/>
          </w:tcPr>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p>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2.</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C619E0" w:rsidTr="00C619E0">
        <w:tc>
          <w:tcPr>
            <w:cnfStyle w:val="001000000000" w:firstRow="0" w:lastRow="0" w:firstColumn="1" w:lastColumn="0" w:oddVBand="0" w:evenVBand="0" w:oddHBand="0" w:evenHBand="0" w:firstRowFirstColumn="0" w:firstRowLastColumn="0" w:lastRowFirstColumn="0" w:lastRowLastColumn="0"/>
            <w:tcW w:w="4678" w:type="dxa"/>
          </w:tcPr>
          <w:p w:rsidR="00C619E0" w:rsidRDefault="00C619E0" w:rsidP="00C619E0">
            <w:pPr>
              <w:rPr>
                <w:sz w:val="20"/>
                <w:szCs w:val="20"/>
              </w:rPr>
            </w:pPr>
          </w:p>
          <w:p w:rsidR="00C619E0" w:rsidRDefault="00C619E0" w:rsidP="00C619E0">
            <w:pPr>
              <w:rPr>
                <w:sz w:val="20"/>
                <w:szCs w:val="20"/>
              </w:rPr>
            </w:pPr>
            <w:r>
              <w:rPr>
                <w:sz w:val="20"/>
                <w:szCs w:val="20"/>
              </w:rPr>
              <w:t>4.</w:t>
            </w:r>
          </w:p>
          <w:p w:rsidR="00C619E0" w:rsidRDefault="00C619E0" w:rsidP="00C619E0">
            <w:pPr>
              <w:rPr>
                <w:sz w:val="20"/>
                <w:szCs w:val="20"/>
              </w:rPr>
            </w:pPr>
          </w:p>
        </w:tc>
        <w:tc>
          <w:tcPr>
            <w:tcW w:w="5670" w:type="dxa"/>
          </w:tcPr>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p>
          <w:p w:rsidR="00C619E0" w:rsidRDefault="00C619E0" w:rsidP="00C619E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r w:rsidR="00C619E0" w:rsidTr="00922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left w:val="none" w:sz="0" w:space="0" w:color="auto"/>
              <w:right w:val="none" w:sz="0" w:space="0" w:color="auto"/>
            </w:tcBorders>
          </w:tcPr>
          <w:p w:rsidR="00C619E0" w:rsidRDefault="00C619E0" w:rsidP="00C619E0">
            <w:pPr>
              <w:rPr>
                <w:sz w:val="20"/>
                <w:szCs w:val="20"/>
              </w:rPr>
            </w:pPr>
          </w:p>
          <w:p w:rsidR="00C619E0" w:rsidRDefault="00C619E0" w:rsidP="00C619E0">
            <w:pPr>
              <w:rPr>
                <w:sz w:val="20"/>
                <w:szCs w:val="20"/>
              </w:rPr>
            </w:pPr>
            <w:r>
              <w:rPr>
                <w:sz w:val="20"/>
                <w:szCs w:val="20"/>
              </w:rPr>
              <w:t>5</w:t>
            </w:r>
          </w:p>
          <w:p w:rsidR="00C619E0" w:rsidRDefault="00C619E0" w:rsidP="00C619E0">
            <w:pPr>
              <w:rPr>
                <w:sz w:val="20"/>
                <w:szCs w:val="20"/>
              </w:rPr>
            </w:pPr>
          </w:p>
        </w:tc>
        <w:tc>
          <w:tcPr>
            <w:tcW w:w="5670" w:type="dxa"/>
            <w:tcBorders>
              <w:left w:val="none" w:sz="0" w:space="0" w:color="auto"/>
              <w:right w:val="none" w:sz="0" w:space="0" w:color="auto"/>
            </w:tcBorders>
          </w:tcPr>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p>
          <w:p w:rsidR="00C619E0" w:rsidRDefault="00C619E0" w:rsidP="00C619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bl>
    <w:p w:rsidR="00AF7790" w:rsidRDefault="00C619E0" w:rsidP="00C619E0">
      <w:pPr>
        <w:spacing w:line="240" w:lineRule="auto"/>
        <w:rPr>
          <w:sz w:val="20"/>
          <w:szCs w:val="20"/>
        </w:rPr>
      </w:pPr>
      <w:r w:rsidRPr="001B0584">
        <w:rPr>
          <w:sz w:val="20"/>
          <w:szCs w:val="20"/>
        </w:rPr>
        <w:tab/>
      </w:r>
      <w:r w:rsidRPr="001B0584">
        <w:rPr>
          <w:sz w:val="20"/>
          <w:szCs w:val="20"/>
        </w:rPr>
        <w:tab/>
      </w:r>
      <w:r w:rsidRPr="001B0584">
        <w:rPr>
          <w:sz w:val="20"/>
          <w:szCs w:val="20"/>
        </w:rPr>
        <w:tab/>
      </w:r>
    </w:p>
    <w:p w:rsidR="00C619E0" w:rsidRPr="00C619E0" w:rsidRDefault="00C619E0" w:rsidP="00C619E0">
      <w:pPr>
        <w:spacing w:line="240" w:lineRule="auto"/>
        <w:rPr>
          <w:rFonts w:ascii="Arial Rounded MT Bold" w:hAnsi="Arial Rounded MT Bold"/>
          <w:color w:val="76923C" w:themeColor="accent3" w:themeShade="BF"/>
          <w:sz w:val="20"/>
          <w:szCs w:val="20"/>
        </w:rPr>
      </w:pPr>
      <w:r w:rsidRPr="00C619E0">
        <w:rPr>
          <w:rFonts w:ascii="Arial Rounded MT Bold" w:hAnsi="Arial Rounded MT Bold"/>
          <w:color w:val="76923C" w:themeColor="accent3" w:themeShade="BF"/>
          <w:sz w:val="20"/>
          <w:szCs w:val="20"/>
        </w:rPr>
        <w:t>LIFE IS FOR LIVING!</w:t>
      </w:r>
      <w:r w:rsidR="00922B32">
        <w:rPr>
          <w:rFonts w:ascii="Arial Rounded MT Bold" w:hAnsi="Arial Rounded MT Bold"/>
          <w:color w:val="76923C" w:themeColor="accent3" w:themeShade="BF"/>
          <w:sz w:val="20"/>
          <w:szCs w:val="20"/>
        </w:rPr>
        <w:t xml:space="preserve"> </w:t>
      </w:r>
      <w:r w:rsidRPr="00C619E0">
        <w:rPr>
          <w:rFonts w:ascii="Arial Rounded MT Bold" w:hAnsi="Arial Rounded MT Bold"/>
          <w:color w:val="76923C" w:themeColor="accent3" w:themeShade="BF"/>
          <w:sz w:val="20"/>
          <w:szCs w:val="20"/>
        </w:rPr>
        <w:t xml:space="preserve">It goes against every instinct that we have to start planning </w:t>
      </w:r>
      <w:r w:rsidR="00DA7977">
        <w:rPr>
          <w:rFonts w:ascii="Arial Rounded MT Bold" w:hAnsi="Arial Rounded MT Bold"/>
          <w:color w:val="76923C" w:themeColor="accent3" w:themeShade="BF"/>
          <w:sz w:val="20"/>
          <w:szCs w:val="20"/>
        </w:rPr>
        <w:t>for the inevitable</w:t>
      </w:r>
      <w:r w:rsidRPr="00C619E0">
        <w:rPr>
          <w:rFonts w:ascii="Arial Rounded MT Bold" w:hAnsi="Arial Rounded MT Bold"/>
          <w:color w:val="76923C" w:themeColor="accent3" w:themeShade="BF"/>
          <w:sz w:val="20"/>
          <w:szCs w:val="20"/>
        </w:rPr>
        <w:t>: in fact only one in three of us have talked to anyone about how or where we would like to die.  But every adult, of whatever age, needs to look ahead and ask “What if?”</w:t>
      </w:r>
      <w:r w:rsidR="00DA7977">
        <w:rPr>
          <w:rFonts w:ascii="Arial Rounded MT Bold" w:hAnsi="Arial Rounded MT Bold"/>
          <w:color w:val="76923C" w:themeColor="accent3" w:themeShade="BF"/>
          <w:sz w:val="20"/>
          <w:szCs w:val="20"/>
        </w:rPr>
        <w:t xml:space="preserve"> What if I died suddenly how </w:t>
      </w:r>
      <w:proofErr w:type="gramStart"/>
      <w:r w:rsidR="00DA7977">
        <w:rPr>
          <w:rFonts w:ascii="Arial Rounded MT Bold" w:hAnsi="Arial Rounded MT Bold"/>
          <w:color w:val="76923C" w:themeColor="accent3" w:themeShade="BF"/>
          <w:sz w:val="20"/>
          <w:szCs w:val="20"/>
        </w:rPr>
        <w:t>would they</w:t>
      </w:r>
      <w:proofErr w:type="gramEnd"/>
      <w:r w:rsidR="00DA7977">
        <w:rPr>
          <w:rFonts w:ascii="Arial Rounded MT Bold" w:hAnsi="Arial Rounded MT Bold"/>
          <w:color w:val="76923C" w:themeColor="accent3" w:themeShade="BF"/>
          <w:sz w:val="20"/>
          <w:szCs w:val="20"/>
        </w:rPr>
        <w:t xml:space="preserve"> know my wishes</w:t>
      </w:r>
    </w:p>
    <w:sectPr w:rsidR="00C619E0" w:rsidRPr="00C619E0" w:rsidSect="00AF7790">
      <w:headerReference w:type="default" r:id="rId10"/>
      <w:footerReference w:type="default" r:id="rId11"/>
      <w:pgSz w:w="11906" w:h="16838"/>
      <w:pgMar w:top="1134" w:right="707" w:bottom="0" w:left="567" w:header="283"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E0" w:rsidRDefault="00C619E0" w:rsidP="00961463">
      <w:pPr>
        <w:spacing w:after="0" w:line="240" w:lineRule="auto"/>
      </w:pPr>
      <w:r>
        <w:separator/>
      </w:r>
    </w:p>
  </w:endnote>
  <w:endnote w:type="continuationSeparator" w:id="0">
    <w:p w:rsidR="00C619E0" w:rsidRDefault="00C619E0"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E0" w:rsidRDefault="00C619E0" w:rsidP="00A00136">
    <w:pPr>
      <w:spacing w:after="0"/>
      <w:jc w:val="center"/>
      <w:rPr>
        <w:sz w:val="18"/>
        <w:szCs w:val="18"/>
      </w:rPr>
    </w:pPr>
    <w:r w:rsidRPr="001B0584">
      <w:rPr>
        <w:sz w:val="18"/>
        <w:szCs w:val="18"/>
      </w:rPr>
      <w:t>The Estate Office,</w:t>
    </w:r>
  </w:p>
  <w:p w:rsidR="00C619E0" w:rsidRPr="001B0584" w:rsidRDefault="00C619E0" w:rsidP="00A00136">
    <w:pPr>
      <w:spacing w:after="0"/>
      <w:jc w:val="center"/>
      <w:rPr>
        <w:sz w:val="18"/>
        <w:szCs w:val="18"/>
      </w:rPr>
    </w:pPr>
    <w:r w:rsidRPr="001B0584">
      <w:rPr>
        <w:sz w:val="18"/>
        <w:szCs w:val="18"/>
      </w:rPr>
      <w:t>Morton Hall, Morton Nr Gainsborough DN21 3AA</w:t>
    </w:r>
  </w:p>
  <w:p w:rsidR="00C619E0" w:rsidRPr="001B0584" w:rsidRDefault="00DA7977" w:rsidP="00A00136">
    <w:pPr>
      <w:spacing w:after="0"/>
      <w:jc w:val="center"/>
      <w:rPr>
        <w:sz w:val="18"/>
        <w:szCs w:val="18"/>
      </w:rPr>
    </w:pPr>
    <w:hyperlink r:id="rId1" w:history="1">
      <w:r w:rsidR="00C619E0" w:rsidRPr="001B0584">
        <w:rPr>
          <w:rStyle w:val="Hyperlink"/>
          <w:sz w:val="18"/>
          <w:szCs w:val="18"/>
        </w:rPr>
        <w:t>www.respectgb.co.uk</w:t>
      </w:r>
    </w:hyperlink>
  </w:p>
  <w:p w:rsidR="00C619E0" w:rsidRPr="001B0584" w:rsidRDefault="00C619E0" w:rsidP="00A00136">
    <w:pPr>
      <w:pStyle w:val="Footer"/>
      <w:jc w:val="center"/>
      <w:rPr>
        <w:sz w:val="18"/>
        <w:szCs w:val="18"/>
      </w:rPr>
    </w:pPr>
    <w:r w:rsidRPr="001B0584">
      <w:rPr>
        <w:sz w:val="18"/>
        <w:szCs w:val="18"/>
      </w:rPr>
      <w:t xml:space="preserve">For more information please e-mail </w:t>
    </w:r>
    <w:hyperlink r:id="rId2" w:history="1">
      <w:r w:rsidRPr="001B0584">
        <w:rPr>
          <w:rStyle w:val="Hyperlink"/>
          <w:sz w:val="18"/>
          <w:szCs w:val="18"/>
        </w:rPr>
        <w:t>info@respectgb.co.uk</w:t>
      </w:r>
    </w:hyperlink>
    <w:r w:rsidRPr="001B0584">
      <w:rPr>
        <w:rStyle w:val="Hyperlink"/>
        <w:sz w:val="18"/>
        <w:szCs w:val="18"/>
      </w:rPr>
      <w:t xml:space="preserve"> </w:t>
    </w:r>
    <w:r w:rsidRPr="001B0584">
      <w:rPr>
        <w:rStyle w:val="Hyperlink"/>
        <w:color w:val="auto"/>
        <w:sz w:val="18"/>
        <w:szCs w:val="18"/>
        <w:u w:val="none"/>
      </w:rPr>
      <w:t>or call 01427 612992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E0" w:rsidRDefault="00C619E0" w:rsidP="00961463">
      <w:pPr>
        <w:spacing w:after="0" w:line="240" w:lineRule="auto"/>
      </w:pPr>
      <w:r>
        <w:separator/>
      </w:r>
    </w:p>
  </w:footnote>
  <w:footnote w:type="continuationSeparator" w:id="0">
    <w:p w:rsidR="00C619E0" w:rsidRDefault="00C619E0"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E0" w:rsidRPr="005B5DE1" w:rsidRDefault="00C619E0" w:rsidP="00961463">
    <w:pPr>
      <w:pStyle w:val="Header"/>
      <w:jc w:val="center"/>
      <w:rPr>
        <w:rFonts w:ascii="Trajan Pro" w:hAnsi="Trajan Pro"/>
        <w:b/>
        <w:sz w:val="28"/>
        <w:szCs w:val="28"/>
      </w:rPr>
    </w:pPr>
    <w:r w:rsidRPr="005B5DE1">
      <w:rPr>
        <w:rFonts w:ascii="Trajan Pro" w:hAnsi="Trajan Pro"/>
        <w:b/>
        <w:sz w:val="28"/>
        <w:szCs w:val="28"/>
      </w:rPr>
      <w:t xml:space="preserve">Respect </w:t>
    </w:r>
  </w:p>
  <w:p w:rsidR="00C619E0" w:rsidRPr="005B5DE1" w:rsidRDefault="00C619E0" w:rsidP="00961463">
    <w:pPr>
      <w:pStyle w:val="Header"/>
      <w:jc w:val="center"/>
      <w:rPr>
        <w:rFonts w:ascii="Trajan Pro" w:hAnsi="Trajan Pro"/>
        <w:b/>
        <w:color w:val="006600"/>
        <w:sz w:val="24"/>
        <w:szCs w:val="24"/>
      </w:rPr>
    </w:pPr>
    <w:r w:rsidRPr="005B5DE1">
      <w:rPr>
        <w:rFonts w:ascii="Trajan Pro" w:hAnsi="Trajan Pro"/>
        <w:b/>
        <w:color w:val="006600"/>
        <w:sz w:val="24"/>
        <w:szCs w:val="24"/>
      </w:rPr>
      <w:t>Woodland Green Burial Parks</w:t>
    </w:r>
  </w:p>
  <w:p w:rsidR="00C619E0" w:rsidRPr="005B5DE1" w:rsidRDefault="00C619E0" w:rsidP="00B156F7">
    <w:pPr>
      <w:pStyle w:val="Header"/>
      <w:jc w:val="center"/>
      <w:rPr>
        <w:rFonts w:ascii="Trajan Pro" w:hAnsi="Trajan Pro"/>
        <w:b/>
        <w:color w:val="006600"/>
        <w:sz w:val="20"/>
        <w:szCs w:val="20"/>
      </w:rPr>
    </w:pPr>
    <w:r w:rsidRPr="005B5DE1">
      <w:rPr>
        <w:rFonts w:ascii="Trajan Pro" w:hAnsi="Trajan Pro"/>
        <w:b/>
        <w:color w:val="006600"/>
        <w:sz w:val="20"/>
        <w:szCs w:val="20"/>
      </w:rPr>
      <w:t>Laughton North Lincolnshire &amp; Bawtry South Yorkshire / North Nottinghamshire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52"/>
    <w:rsid w:val="000035C7"/>
    <w:rsid w:val="00026DD0"/>
    <w:rsid w:val="001025FF"/>
    <w:rsid w:val="001B0584"/>
    <w:rsid w:val="003C77AE"/>
    <w:rsid w:val="00477376"/>
    <w:rsid w:val="004D6114"/>
    <w:rsid w:val="004F56D1"/>
    <w:rsid w:val="005B5DE1"/>
    <w:rsid w:val="00806DFD"/>
    <w:rsid w:val="008111BC"/>
    <w:rsid w:val="00862B7B"/>
    <w:rsid w:val="008815BF"/>
    <w:rsid w:val="00904032"/>
    <w:rsid w:val="00922B32"/>
    <w:rsid w:val="00931BC7"/>
    <w:rsid w:val="00946652"/>
    <w:rsid w:val="00961463"/>
    <w:rsid w:val="00984254"/>
    <w:rsid w:val="00A00136"/>
    <w:rsid w:val="00A02A6A"/>
    <w:rsid w:val="00AF7790"/>
    <w:rsid w:val="00B12955"/>
    <w:rsid w:val="00B156F7"/>
    <w:rsid w:val="00C23F2C"/>
    <w:rsid w:val="00C32C7B"/>
    <w:rsid w:val="00C619E0"/>
    <w:rsid w:val="00DA7977"/>
    <w:rsid w:val="00E1485F"/>
    <w:rsid w:val="00E75E00"/>
    <w:rsid w:val="00FC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00"/>
    <w:rPr>
      <w:color w:val="0000FF" w:themeColor="hyperlink"/>
      <w:u w:val="single"/>
    </w:rPr>
  </w:style>
  <w:style w:type="paragraph" w:styleId="Header">
    <w:name w:val="header"/>
    <w:basedOn w:val="Normal"/>
    <w:link w:val="HeaderChar"/>
    <w:uiPriority w:val="99"/>
    <w:unhideWhenUsed/>
    <w:rsid w:val="0096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63"/>
  </w:style>
  <w:style w:type="character" w:customStyle="1" w:styleId="apple-style-span">
    <w:name w:val="apple-style-span"/>
    <w:basedOn w:val="DefaultParagraphFont"/>
    <w:rsid w:val="00931BC7"/>
  </w:style>
  <w:style w:type="table" w:styleId="TableGrid">
    <w:name w:val="Table Grid"/>
    <w:basedOn w:val="TableNormal"/>
    <w:uiPriority w:val="59"/>
    <w:rsid w:val="001B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D611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C6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00"/>
    <w:rPr>
      <w:color w:val="0000FF" w:themeColor="hyperlink"/>
      <w:u w:val="single"/>
    </w:rPr>
  </w:style>
  <w:style w:type="paragraph" w:styleId="Header">
    <w:name w:val="header"/>
    <w:basedOn w:val="Normal"/>
    <w:link w:val="HeaderChar"/>
    <w:uiPriority w:val="99"/>
    <w:unhideWhenUsed/>
    <w:rsid w:val="0096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63"/>
  </w:style>
  <w:style w:type="character" w:customStyle="1" w:styleId="apple-style-span">
    <w:name w:val="apple-style-span"/>
    <w:basedOn w:val="DefaultParagraphFont"/>
    <w:rsid w:val="00931BC7"/>
  </w:style>
  <w:style w:type="table" w:styleId="TableGrid">
    <w:name w:val="Table Grid"/>
    <w:basedOn w:val="TableNormal"/>
    <w:uiPriority w:val="59"/>
    <w:rsid w:val="001B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D611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C6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gb.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spectgb.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spectgb.co.uk" TargetMode="External"/><Relationship Id="rId1" Type="http://schemas.openxmlformats.org/officeDocument/2006/relationships/hyperlink" Target="http://www.respectg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B08C-8A1B-46FF-9867-B7C43858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Tulley</dc:creator>
  <cp:lastModifiedBy>Gordon Tulley</cp:lastModifiedBy>
  <cp:revision>5</cp:revision>
  <cp:lastPrinted>2011-03-01T15:42:00Z</cp:lastPrinted>
  <dcterms:created xsi:type="dcterms:W3CDTF">2011-03-01T15:34:00Z</dcterms:created>
  <dcterms:modified xsi:type="dcterms:W3CDTF">2011-03-02T19:57:00Z</dcterms:modified>
</cp:coreProperties>
</file>